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1A8" w:rsidRPr="006B02E5" w:rsidRDefault="001D71A8" w:rsidP="001D71A8">
      <w:pPr>
        <w:spacing w:before="120" w:after="120" w:line="240" w:lineRule="auto"/>
      </w:pPr>
      <w:r w:rsidRPr="006B02E5">
        <w:t>Critical Evaluation of Cd, Cu, Ni, Pb and Zn Biomagnification in Aquatic Ecosystems</w:t>
      </w:r>
    </w:p>
    <w:p w:rsidR="001D71A8" w:rsidRPr="006B02E5" w:rsidRDefault="001D71A8" w:rsidP="001D71A8">
      <w:pPr>
        <w:spacing w:before="120" w:after="120" w:line="240" w:lineRule="auto"/>
      </w:pPr>
      <w:r w:rsidRPr="006B02E5">
        <w:t>Ecotoxicology</w:t>
      </w:r>
    </w:p>
    <w:p w:rsidR="001D71A8" w:rsidRPr="006B02E5" w:rsidRDefault="001D71A8" w:rsidP="001D71A8">
      <w:pPr>
        <w:spacing w:before="120" w:after="120" w:line="240" w:lineRule="auto"/>
      </w:pPr>
      <w:r w:rsidRPr="006B02E5">
        <w:t>Cardwell RD</w:t>
      </w:r>
      <w:r w:rsidRPr="006B02E5">
        <w:rPr>
          <w:vertAlign w:val="superscript"/>
        </w:rPr>
        <w:t>a</w:t>
      </w:r>
      <w:r>
        <w:t>, DK DeF</w:t>
      </w:r>
      <w:r w:rsidRPr="006B02E5">
        <w:t>orest</w:t>
      </w:r>
      <w:r w:rsidRPr="006B02E5">
        <w:rPr>
          <w:vertAlign w:val="superscript"/>
        </w:rPr>
        <w:t>b</w:t>
      </w:r>
      <w:r w:rsidRPr="006B02E5">
        <w:t>, KV Brix</w:t>
      </w:r>
      <w:r w:rsidRPr="006B02E5">
        <w:rPr>
          <w:vertAlign w:val="superscript"/>
        </w:rPr>
        <w:t>c</w:t>
      </w:r>
      <w:r w:rsidRPr="006B02E5">
        <w:t xml:space="preserve"> and WJ Adams</w:t>
      </w:r>
      <w:r w:rsidRPr="006B02E5">
        <w:rPr>
          <w:vertAlign w:val="superscript"/>
        </w:rPr>
        <w:t>d</w:t>
      </w:r>
    </w:p>
    <w:p w:rsidR="001D71A8" w:rsidRPr="006B02E5" w:rsidRDefault="001D71A8" w:rsidP="001D71A8">
      <w:pPr>
        <w:spacing w:before="120" w:after="120" w:line="240" w:lineRule="auto"/>
      </w:pPr>
      <w:r w:rsidRPr="006B02E5">
        <w:rPr>
          <w:vertAlign w:val="superscript"/>
        </w:rPr>
        <w:t>a</w:t>
      </w:r>
      <w:r w:rsidRPr="006B02E5">
        <w:t>Cardwell Consulting</w:t>
      </w:r>
      <w:r>
        <w:t xml:space="preserve"> LLC</w:t>
      </w:r>
      <w:r w:rsidRPr="006B02E5">
        <w:t xml:space="preserve">, </w:t>
      </w:r>
      <w:r>
        <w:t xml:space="preserve">Corvallis, OR, </w:t>
      </w:r>
      <w:r w:rsidRPr="006B02E5">
        <w:rPr>
          <w:vertAlign w:val="superscript"/>
        </w:rPr>
        <w:t>b</w:t>
      </w:r>
      <w:r w:rsidRPr="006B02E5">
        <w:t xml:space="preserve">Windward Environmental, Seattle, WA; </w:t>
      </w:r>
      <w:r w:rsidRPr="006B02E5">
        <w:rPr>
          <w:vertAlign w:val="superscript"/>
        </w:rPr>
        <w:t>c</w:t>
      </w:r>
      <w:r w:rsidRPr="006B02E5">
        <w:t>RSM</w:t>
      </w:r>
      <w:r>
        <w:t>AS University of Miami, FL</w:t>
      </w:r>
      <w:r w:rsidRPr="006B02E5">
        <w:t xml:space="preserve">, </w:t>
      </w:r>
      <w:r w:rsidRPr="006B02E5">
        <w:rPr>
          <w:vertAlign w:val="superscript"/>
        </w:rPr>
        <w:t>d</w:t>
      </w:r>
      <w:r w:rsidRPr="006B02E5">
        <w:t>Rio</w:t>
      </w:r>
      <w:r>
        <w:t xml:space="preserve"> Tinto, South Jordan, UT</w:t>
      </w:r>
    </w:p>
    <w:p w:rsidR="001D71A8" w:rsidRPr="006B02E5" w:rsidRDefault="001D71A8" w:rsidP="001D71A8">
      <w:pPr>
        <w:spacing w:before="120" w:after="120" w:line="240" w:lineRule="auto"/>
      </w:pPr>
      <w:r w:rsidRPr="006B02E5">
        <w:t>cardwellconsultingllc@comcast.net</w:t>
      </w:r>
    </w:p>
    <w:p w:rsidR="00EF16C6" w:rsidRDefault="001D71A8" w:rsidP="001D71A8">
      <w:pPr>
        <w:spacing w:before="360"/>
        <w:rPr>
          <w:b/>
        </w:rPr>
      </w:pPr>
      <w:r>
        <w:rPr>
          <w:b/>
        </w:rPr>
        <w:t>Online Resource 3</w:t>
      </w:r>
      <w:r w:rsidR="00EF16C6">
        <w:rPr>
          <w:b/>
        </w:rPr>
        <w:t xml:space="preserve"> List of Contents:</w:t>
      </w:r>
    </w:p>
    <w:p w:rsidR="001D71A8" w:rsidRPr="00203464" w:rsidRDefault="00EF16C6" w:rsidP="00203464">
      <w:pPr>
        <w:pStyle w:val="ListParagraph"/>
        <w:numPr>
          <w:ilvl w:val="1"/>
          <w:numId w:val="2"/>
        </w:numPr>
        <w:spacing w:before="360"/>
        <w:rPr>
          <w:b/>
        </w:rPr>
      </w:pPr>
      <w:r w:rsidRPr="00EF16C6">
        <w:t>Table detailing b</w:t>
      </w:r>
      <w:r w:rsidR="001D71A8" w:rsidRPr="00EF16C6">
        <w:t>iokinetic data for marine organisms</w:t>
      </w:r>
      <w:r w:rsidR="001D71A8" w:rsidRPr="00166B70">
        <w:t xml:space="preserve">.  </w:t>
      </w:r>
      <w:r w:rsidRPr="00203464">
        <w:rPr>
          <w:bCs/>
        </w:rPr>
        <w:t xml:space="preserve">Bold fonts represent </w:t>
      </w:r>
      <w:r w:rsidR="00166B70" w:rsidRPr="00203464">
        <w:rPr>
          <w:bCs/>
        </w:rPr>
        <w:t xml:space="preserve">the </w:t>
      </w:r>
      <w:r w:rsidRPr="00203464">
        <w:rPr>
          <w:bCs/>
        </w:rPr>
        <w:t>geome</w:t>
      </w:r>
      <w:r w:rsidR="00166B70" w:rsidRPr="00203464">
        <w:rPr>
          <w:bCs/>
        </w:rPr>
        <w:t>tric me</w:t>
      </w:r>
      <w:r w:rsidRPr="00203464">
        <w:rPr>
          <w:bCs/>
        </w:rPr>
        <w:t>an ± standard error of TTFs for taxonomic groups.</w:t>
      </w:r>
      <w:bookmarkStart w:id="0" w:name="_GoBack"/>
      <w:bookmarkEnd w:id="0"/>
    </w:p>
    <w:p w:rsidR="00EF16C6" w:rsidRPr="00203464" w:rsidRDefault="00EF16C6" w:rsidP="00203464">
      <w:pPr>
        <w:pStyle w:val="ListParagraph"/>
        <w:numPr>
          <w:ilvl w:val="1"/>
          <w:numId w:val="1"/>
        </w:numPr>
        <w:spacing w:before="360"/>
        <w:rPr>
          <w:b/>
        </w:rPr>
      </w:pPr>
      <w:r w:rsidRPr="00EF16C6">
        <w:t>References to studies cited in table</w:t>
      </w:r>
      <w:r>
        <w:t>.</w:t>
      </w:r>
    </w:p>
    <w:tbl>
      <w:tblPr>
        <w:tblW w:w="12465" w:type="dxa"/>
        <w:tblInd w:w="108" w:type="dxa"/>
        <w:shd w:val="clear" w:color="auto" w:fill="FFFFFF" w:themeFill="background1"/>
        <w:tblLayout w:type="fixed"/>
        <w:tblLook w:val="04A0"/>
      </w:tblPr>
      <w:tblGrid>
        <w:gridCol w:w="1890"/>
        <w:gridCol w:w="1080"/>
        <w:gridCol w:w="1440"/>
        <w:gridCol w:w="1350"/>
        <w:gridCol w:w="644"/>
        <w:gridCol w:w="708"/>
        <w:gridCol w:w="762"/>
        <w:gridCol w:w="586"/>
        <w:gridCol w:w="586"/>
        <w:gridCol w:w="854"/>
        <w:gridCol w:w="529"/>
        <w:gridCol w:w="2036"/>
      </w:tblGrid>
      <w:tr w:rsidR="00B45F42" w:rsidRPr="00535068" w:rsidTr="00DC07E6">
        <w:trPr>
          <w:trHeight w:val="585"/>
          <w:tblHeader/>
        </w:trPr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Species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14437E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Taxonomic Group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45F42" w:rsidRPr="00535068" w:rsidRDefault="00B45F42" w:rsidP="0014437E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Feeding Strategy/</w:t>
            </w:r>
          </w:p>
          <w:p w:rsidR="00B45F42" w:rsidRPr="00535068" w:rsidRDefault="00B45F42" w:rsidP="0014437E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Trophic Level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45F42" w:rsidRPr="00535068" w:rsidRDefault="00B45F42" w:rsidP="0014437E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Diet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AE               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45F42" w:rsidRPr="00535068" w:rsidRDefault="00B45F42" w:rsidP="00D721C5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IR (g g</w:t>
            </w:r>
            <w:r w:rsidRPr="00535068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-1</w:t>
            </w: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</w:t>
            </w:r>
            <w:r w:rsidRPr="00535068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-1</w:t>
            </w: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k</w:t>
            </w:r>
            <w:r w:rsidRPr="00535068">
              <w:rPr>
                <w:rFonts w:ascii="Arial" w:hAnsi="Arial" w:cs="Arial"/>
                <w:b/>
                <w:bCs/>
                <w:sz w:val="14"/>
                <w:szCs w:val="14"/>
                <w:vertAlign w:val="subscript"/>
              </w:rPr>
              <w:t>e, food</w:t>
            </w: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(d</w:t>
            </w:r>
            <w:r w:rsidRPr="00535068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-1</w:t>
            </w: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B45F42" w:rsidRDefault="00B45F42" w:rsidP="00B45F42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</w:p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(d</w:t>
            </w:r>
            <w:r w:rsidRPr="00B45F42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-1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TTF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Geomean TTF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SEM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Reference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tcBorders>
              <w:top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b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sz w:val="14"/>
                <w:szCs w:val="14"/>
              </w:rPr>
              <w:t>Cadmium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0.39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0.27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Mathews and Fisher 2008a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Temora and Acartia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Ciliate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87.9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0.374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1.0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Twining and Fisher 2004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Temora and Acartia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Dinoflagellate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78.15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0.560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Twining and Fisher 2004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Temora longicornis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0.297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0.69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0.10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and Fisher 1998a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Leptocheirus plumulosus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Amphipod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0.049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0.07</w:t>
            </w: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0.03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Williams et al. 2010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Melita plumulosa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Amphipod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0.098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1.4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sz w:val="14"/>
                <w:szCs w:val="14"/>
              </w:rPr>
              <w:t>0.73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King et al. 2005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Macoma balthica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Omnivore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Plankton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11.1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Griscom et al. 2002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Mytilus edulis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Seston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0.27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7.7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et al. 1997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Mytilus edulis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66.6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1.7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0.0624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18.1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Baines et al. 2005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Perna viridis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Chong and Wang 2001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Perna viridis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0.025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Ng and Wang 2005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Ruditapes philippinarum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8.0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Chong and Wang 2001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Chlamys nobilis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75.6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24.2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Pan and Wang 2008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Chlamys nobilis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85.9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0.0071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38.7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Liu and Wang 2011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Crassostrea rivularis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74.6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24.0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Crassostrea rivularis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13.8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Crassostrea rivularis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Prasinophyte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57.8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18.6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lastRenderedPageBreak/>
              <w:t>Crassostrea rivularis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Dinoflagellate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67.4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21.7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Tellina deltoidalis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0.07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0.050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1.0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King et al. 2005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Saccostrea glomeratus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72.3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17.8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Saccostrea glomeratus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41.1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10.1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Saccostrea glomeratus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Prasinophyte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68.4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16.8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Saccostrea glomeratus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Dinoflagellate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79.7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19.6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E3661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15.0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E3661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2.4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Balanus amphitrite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34.15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0.0071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19.2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Rainbow et al. 2003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Balanus amphitrite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0.07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3.4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et al. 1999a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Balanus amphitrite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Zooplankton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0.07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4.0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et al. 1999a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Elminius modestus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34.55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0.0181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Rainbow and Wang 2001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Elminius modestus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Zooplankton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70.3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0.0181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15.5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10.0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3.5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Rainbow and Wang 2001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Haliotis diversicolor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Gastropod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Herbivore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Macroalgae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56.6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0.28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0.012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13.2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13.2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Huang et al. 2008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Acanthopagrus schlegeli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0.089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Zhang and Wang 2007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Fundulus heteroclitus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Amphipods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4.5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0.064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Dutton and Fisher 2011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EF16C6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Fundulus heteroclitus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EF16C6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EF16C6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Polychaetes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2.9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Dutton and Fisher 2011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Lutjanus argentimaculatus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DC07E6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Acartia</w:t>
            </w:r>
            <w:r w:rsidRPr="00535068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535068">
              <w:rPr>
                <w:rFonts w:ascii="Arial" w:hAnsi="Arial" w:cs="Arial"/>
                <w:i/>
                <w:sz w:val="14"/>
                <w:szCs w:val="14"/>
              </w:rPr>
              <w:t>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0.335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0.047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Xu and Wang 2002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Menidia menidia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DC07E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 xml:space="preserve"> 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0.58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0.073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0.057</w:t>
            </w: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0.67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Dutton and Fisher 2010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FE4EF8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Menidia menidia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FE4EF8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FE4EF8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FE4EF8">
            <w:pPr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0.37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0.052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0.022</w:t>
            </w: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1.95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Dutton and Fisher 2010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Morone saxatilis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Acartia, 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0.07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0.15</w:t>
            </w: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0.52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Baines et al. 2002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Morone saxatilis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Acartia, 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0.15</w:t>
            </w: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0.78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Baines et al. 2002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Sparus auratus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Mathews and Fisher 2008b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Terapon jarbua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Mussel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8.1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0.8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Zhang and Wang 2006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Terapon jarbua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Copepods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6.3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Zhang and Wang 2006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Terapon jarbua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Barnacles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3.4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Zhang and Wang 2006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Terapon jarbua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Clams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8.8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0.8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Zhang and Wang 2006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Terapon jarbua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Mussel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3.6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9F4BD4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0.6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0.1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Zhang and Wang 2006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 xml:space="preserve">Babylonia </w:t>
            </w:r>
            <w:r w:rsidR="00893A92">
              <w:rPr>
                <w:rFonts w:ascii="Arial" w:hAnsi="Arial" w:cs="Arial"/>
                <w:i/>
                <w:sz w:val="14"/>
                <w:szCs w:val="14"/>
              </w:rPr>
              <w:t>formo</w:t>
            </w:r>
            <w:r w:rsidR="00893A92" w:rsidRPr="00535068">
              <w:rPr>
                <w:rFonts w:ascii="Arial" w:hAnsi="Arial" w:cs="Arial"/>
                <w:i/>
                <w:sz w:val="14"/>
                <w:szCs w:val="14"/>
              </w:rPr>
              <w:t>sae</w:t>
            </w:r>
            <w:r w:rsidRPr="00535068">
              <w:rPr>
                <w:rFonts w:ascii="Arial" w:hAnsi="Arial" w:cs="Arial"/>
                <w:i/>
                <w:sz w:val="14"/>
                <w:szCs w:val="14"/>
              </w:rPr>
              <w:t xml:space="preserve"> habei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Snail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Clam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97.7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0.0055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8.9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and Ke 2002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Nassarius teretiusculus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Snail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Clam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84.5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0.0011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38.4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and Ke 2002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Thais clavigera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Snail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Clam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85.2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Cheung et al. 2007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Thais clavigera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Snail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Barnacles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76.2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1.4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Cheung and Wang 2005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Thais clavigera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Snail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Limpet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94.1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1.7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Cheung and Wang 2005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Thais clavigera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Snail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Gastropod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92.1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Cheung and Wang 2005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Thais clavigera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Snail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Oyster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81.6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Cheung and Wang 2005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Thais clavigera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Snail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1915B6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Mussel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81.9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7.1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4.6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Cheung and Wang 2005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Psetta maxima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D27EE6">
              <w:rPr>
                <w:rFonts w:ascii="Arial" w:hAnsi="Arial" w:cs="Arial"/>
                <w:sz w:val="14"/>
                <w:szCs w:val="14"/>
              </w:rPr>
              <w:t xml:space="preserve"> – TL4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Juvenile Fish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0.0275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0.019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Mathews et al. 2008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Sparus auratus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D27EE6">
              <w:rPr>
                <w:rFonts w:ascii="Arial" w:hAnsi="Arial" w:cs="Arial"/>
                <w:sz w:val="14"/>
                <w:szCs w:val="14"/>
              </w:rPr>
              <w:t xml:space="preserve"> – TL4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Juvenile Fish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0.0275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0.016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0.8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Mathews et al. 2008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Dicentrarchus labrax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D27EE6">
              <w:rPr>
                <w:rFonts w:ascii="Arial" w:hAnsi="Arial" w:cs="Arial"/>
                <w:sz w:val="14"/>
                <w:szCs w:val="14"/>
              </w:rPr>
              <w:t xml:space="preserve"> – TL4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Juvenile Fish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22.9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0.07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53506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Mathews and Fisher 2008b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Terapon jarbua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D27EE6">
              <w:rPr>
                <w:rFonts w:ascii="Arial" w:hAnsi="Arial" w:cs="Arial"/>
                <w:sz w:val="14"/>
                <w:szCs w:val="14"/>
              </w:rPr>
              <w:t xml:space="preserve"> – TL4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6.3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0.5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0.1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Zhang and Wang 2006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Scyliorhinus canicula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Shark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D27EE6">
              <w:rPr>
                <w:rFonts w:ascii="Arial" w:hAnsi="Arial" w:cs="Arial"/>
                <w:sz w:val="14"/>
                <w:szCs w:val="14"/>
              </w:rPr>
              <w:t xml:space="preserve"> – TL5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0.0275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0.009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0.9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0.9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Mathews et al. 2008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5F42" w:rsidRPr="00535068" w:rsidTr="00DC07E6">
        <w:trPr>
          <w:trHeight w:val="31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Copper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Melita plumulosa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Amphipod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E65C8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4A619E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708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0.16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</w:t>
            </w:r>
          </w:p>
        </w:tc>
        <w:tc>
          <w:tcPr>
            <w:tcW w:w="854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0.3</w:t>
            </w:r>
          </w:p>
        </w:tc>
        <w:tc>
          <w:tcPr>
            <w:tcW w:w="529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King et al. 2005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Chlamys nobilis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E65C8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4A619E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34.6</w:t>
            </w:r>
          </w:p>
        </w:tc>
        <w:tc>
          <w:tcPr>
            <w:tcW w:w="708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0.29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0.148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0.7</w:t>
            </w:r>
          </w:p>
        </w:tc>
        <w:tc>
          <w:tcPr>
            <w:tcW w:w="854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Pan and Wang 2009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Ruditapes philippinarum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E65C8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4A619E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73.3</w:t>
            </w:r>
          </w:p>
        </w:tc>
        <w:tc>
          <w:tcPr>
            <w:tcW w:w="708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0.147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1.0</w:t>
            </w:r>
          </w:p>
        </w:tc>
        <w:tc>
          <w:tcPr>
            <w:tcW w:w="854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Pan and Wang 2009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Saccostrea glomerata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E65C8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4A619E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85.4</w:t>
            </w:r>
          </w:p>
        </w:tc>
        <w:tc>
          <w:tcPr>
            <w:tcW w:w="708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0.032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8.5</w:t>
            </w:r>
          </w:p>
        </w:tc>
        <w:tc>
          <w:tcPr>
            <w:tcW w:w="854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Pan and Wang 2009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Tellina deltoidalis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1B34FF">
            <w:pPr>
              <w:spacing w:after="0"/>
              <w:ind w:left="-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4A619E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08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0.10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0.043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1.1</w:t>
            </w:r>
          </w:p>
        </w:tc>
        <w:tc>
          <w:tcPr>
            <w:tcW w:w="854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King et al. 2005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Perna viridis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E65C8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4A619E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35.2</w:t>
            </w:r>
          </w:p>
        </w:tc>
        <w:tc>
          <w:tcPr>
            <w:tcW w:w="708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0.131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</w:t>
            </w:r>
          </w:p>
        </w:tc>
        <w:tc>
          <w:tcPr>
            <w:tcW w:w="854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Pan and Wang 2009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Septifer virgatus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E65C8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4A619E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67.2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0.29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0.095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E65C82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2.3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E65C82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1.3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Pan and Wang 2009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Acanthopagrus schlegeli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4A619E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Oyster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1.7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0.11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0.091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Dang et al. 2009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Acanthopagrus schlegeli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4A619E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Clam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9.3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0.11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0.091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Dang et al. 2009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Acanthopagrus schlegeli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4A619E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10.9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0.11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0.091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0.1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0.0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Dang et al. 2009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5F42" w:rsidRPr="00535068" w:rsidTr="00DC07E6">
        <w:trPr>
          <w:trHeight w:val="31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Nickel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Calanus sinicus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Planktivore</w:t>
            </w:r>
            <w:r w:rsidR="000004EC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33.0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0.41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0.448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et al. 2007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Calanus sinicus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Planktivore</w:t>
            </w:r>
            <w:r w:rsidR="000004EC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21.3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0.41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0.575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et al. 2007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Labidocera euchaeta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Planktivore</w:t>
            </w:r>
            <w:r w:rsidR="000004EC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24.8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0.41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0.312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0.3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0.1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et al. 2007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Gafrarium tumidum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Planktivore</w:t>
            </w:r>
            <w:r w:rsidR="000004EC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Phytoplankton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61.2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0.29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0.019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9.3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Hedouin et al. 2007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Isognomon isognomon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Planktivore</w:t>
            </w:r>
            <w:r w:rsidR="000004EC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Phytoplankton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17.1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0.29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0.0001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495.9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252.6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Hedouin et al. 2007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5F42" w:rsidRPr="00535068" w:rsidTr="00DC07E6">
        <w:trPr>
          <w:trHeight w:val="31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Zinc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Balanus amphitrite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C122ED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71.35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0.00365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78.2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Rainbow et al. 2003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Balanus amphitrite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C122ED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87.2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116.3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et al. 1999c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Balanus amphitrite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C122ED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76.1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101.5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et al. 1999c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Balanus amphitrite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C122ED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92.3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123.1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et al. 1999c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Balanus amphitrite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C122ED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93.2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124.3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et al. 1999c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Balanus amphitrite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C122ED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93.2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124.3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et al. 1999c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Elminius modestus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C122ED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64.7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0.0022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117.6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Rainbow and Wang 2001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Elminius modestus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Barnacle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C122ED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Zooplankton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70.3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0.0022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127.8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114.1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5.9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Rainbow and Wang 2001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Temora longicornis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C122ED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Seston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0.079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3.2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and Fisher 1998a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Temora and Acartia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C122ED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Ciliate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77.5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0.158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Twining and Fisher 2004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Temora and Acartia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Copepod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C122ED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Dinoflagellate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68.9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0.310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0.9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2.1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0.7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Twining and Fisher 2004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Artemia salina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Brine Shrimp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C122ED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27.6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0.610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Mathews and Fisher 2008b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Mytilus edulis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Seston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0.27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0.015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5.8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et al. 1997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Mytilus edulis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14.3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1.7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0.0304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8.0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Baines et al. 2005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Perna viridis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0.029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Chong and Wang 2001</w:t>
            </w:r>
          </w:p>
        </w:tc>
      </w:tr>
      <w:tr w:rsidR="00B45F42" w:rsidRPr="00535068" w:rsidTr="00DC07E6">
        <w:trPr>
          <w:trHeight w:val="255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Chlamys nobilis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71.3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0.032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Pan and Wang 2008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Ruditapes philippinarum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3.5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Chong and Wang 2001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Crassostrea rivularis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67.3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21.6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Crassostrea rivularis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14.5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Crassostrea rivularis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Prasinophyte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57.8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18.6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Crassostrea rivularis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Dinoflagellate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51.6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16.6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Saccostrea glomeratus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Diatom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60.5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64.5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Saccostrea glomeratus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Algae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50.4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53.8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Saccostrea glomeratus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Prasinophyte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64.6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68.9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Saccostrea glomeratus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Bivalve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Filter Feeder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TL2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Dinoflagellate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61.6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0.32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65.7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FE4EF8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27.0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FE4EF8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7.2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Ke and Wang 2001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Acanthopagrus schlegeli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0.016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6.0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Zhang and Wang 2007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Lutjanus argentimaculatus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Acartia</w:t>
            </w:r>
            <w:r w:rsidRPr="00535068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535068">
              <w:rPr>
                <w:rFonts w:ascii="Arial" w:hAnsi="Arial" w:cs="Arial"/>
                <w:i/>
                <w:sz w:val="14"/>
                <w:szCs w:val="14"/>
              </w:rPr>
              <w:t>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22.15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0.335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0.015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4.9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Xu and Wang 2002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Menidia menidia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0.58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E50BB8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0.057</w:t>
            </w: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1.2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Dutton and Fisher 2010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Menidia menidia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E50BB8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0.37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0.051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E50BB8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0.022</w:t>
            </w: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Dutton and Fisher 2010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Morone saxatilis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Acartia, 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E50BB8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0.15</w:t>
            </w: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0.7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Baines et al. 2002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Morone saxatilis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Acartia, 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0.03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E50BB8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0.15</w:t>
            </w: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1.1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Baines et al. 2002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Sparus auratus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Artemia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14.4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0.2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D721C5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2.2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D721C5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0.9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Mathews and Fisher 2008b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 xml:space="preserve">Babylonia </w:t>
            </w:r>
            <w:r w:rsidR="00893A92">
              <w:rPr>
                <w:rFonts w:ascii="Arial" w:hAnsi="Arial" w:cs="Arial"/>
                <w:i/>
                <w:sz w:val="14"/>
                <w:szCs w:val="14"/>
              </w:rPr>
              <w:t>formo</w:t>
            </w:r>
            <w:r w:rsidR="00893A92" w:rsidRPr="00535068">
              <w:rPr>
                <w:rFonts w:ascii="Arial" w:hAnsi="Arial" w:cs="Arial"/>
                <w:i/>
                <w:sz w:val="14"/>
                <w:szCs w:val="14"/>
              </w:rPr>
              <w:t>sae</w:t>
            </w:r>
            <w:r w:rsidRPr="00535068">
              <w:rPr>
                <w:rFonts w:ascii="Arial" w:hAnsi="Arial" w:cs="Arial"/>
                <w:i/>
                <w:sz w:val="14"/>
                <w:szCs w:val="14"/>
              </w:rPr>
              <w:t xml:space="preserve"> habei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Snail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Clam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82.7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0.0057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7.3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and Ke 2002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Nassarius teretiusculus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Snail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TL3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Clam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73.6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0.0138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2.7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5.0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Wang and Ke 2002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Psetta maxima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TL4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Juvenile Fish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0.0275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0.004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1.5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Mathews et al. 2008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Sparus auratus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TL4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Juvenile Fish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0.0275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0.006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0.8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Mathews et al. 2008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Dicentrarchus labrax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TL4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Juvenile Fish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22.9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0.055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0.6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1.0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0.3</w:t>
            </w: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Mathews and Fisher 2008b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  <w:r w:rsidRPr="00535068">
              <w:rPr>
                <w:rFonts w:ascii="Arial" w:hAnsi="Arial" w:cs="Arial"/>
                <w:i/>
                <w:sz w:val="14"/>
                <w:szCs w:val="14"/>
              </w:rPr>
              <w:t>Scyliorhinus canicula</w:t>
            </w:r>
          </w:p>
        </w:tc>
        <w:tc>
          <w:tcPr>
            <w:tcW w:w="108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Shark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Carnivore</w:t>
            </w:r>
            <w:r w:rsidR="00E50BB8">
              <w:rPr>
                <w:rFonts w:ascii="Arial" w:hAnsi="Arial" w:cs="Arial"/>
                <w:sz w:val="14"/>
                <w:szCs w:val="14"/>
              </w:rPr>
              <w:t xml:space="preserve"> – TL5</w:t>
            </w:r>
          </w:p>
        </w:tc>
        <w:tc>
          <w:tcPr>
            <w:tcW w:w="1350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C93CAE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Fish</w:t>
            </w:r>
          </w:p>
        </w:tc>
        <w:tc>
          <w:tcPr>
            <w:tcW w:w="64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0.0275</w:t>
            </w:r>
          </w:p>
        </w:tc>
        <w:tc>
          <w:tcPr>
            <w:tcW w:w="762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0.012</w:t>
            </w:r>
          </w:p>
        </w:tc>
        <w:tc>
          <w:tcPr>
            <w:tcW w:w="586" w:type="dxa"/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0.4</w:t>
            </w:r>
          </w:p>
        </w:tc>
        <w:tc>
          <w:tcPr>
            <w:tcW w:w="854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35068">
              <w:rPr>
                <w:rFonts w:ascii="Arial" w:hAnsi="Arial" w:cs="Arial"/>
                <w:b/>
                <w:bCs/>
                <w:sz w:val="14"/>
                <w:szCs w:val="14"/>
              </w:rPr>
              <w:t>0.4</w:t>
            </w:r>
          </w:p>
        </w:tc>
        <w:tc>
          <w:tcPr>
            <w:tcW w:w="529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535068">
              <w:rPr>
                <w:rFonts w:ascii="Arial" w:hAnsi="Arial" w:cs="Arial"/>
                <w:sz w:val="14"/>
                <w:szCs w:val="14"/>
              </w:rPr>
              <w:t>Mathews et al. 2008</w:t>
            </w:r>
          </w:p>
        </w:tc>
      </w:tr>
      <w:tr w:rsidR="00B45F42" w:rsidRPr="00535068" w:rsidTr="00DC07E6">
        <w:trPr>
          <w:trHeight w:val="240"/>
        </w:trPr>
        <w:tc>
          <w:tcPr>
            <w:tcW w:w="1890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B45F42" w:rsidRPr="00535068" w:rsidRDefault="00B45F42" w:rsidP="00B45F42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45F42" w:rsidRPr="00535068" w:rsidRDefault="00B45F42" w:rsidP="00BC339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C3390" w:rsidRPr="00535068" w:rsidRDefault="00BC3390" w:rsidP="00BC3390">
      <w:pPr>
        <w:spacing w:before="120" w:after="0"/>
        <w:rPr>
          <w:rFonts w:ascii="Arial" w:hAnsi="Arial" w:cs="Arial"/>
          <w:sz w:val="14"/>
          <w:szCs w:val="14"/>
        </w:rPr>
      </w:pPr>
      <w:r w:rsidRPr="00535068">
        <w:rPr>
          <w:rFonts w:ascii="Arial" w:hAnsi="Arial" w:cs="Arial"/>
          <w:sz w:val="14"/>
          <w:szCs w:val="14"/>
        </w:rPr>
        <w:t>AE = assimilation efficiency</w:t>
      </w:r>
    </w:p>
    <w:p w:rsidR="00BC3390" w:rsidRPr="00535068" w:rsidRDefault="00BC3390" w:rsidP="00BC3390">
      <w:pPr>
        <w:spacing w:after="0"/>
        <w:rPr>
          <w:rFonts w:ascii="Arial" w:hAnsi="Arial" w:cs="Arial"/>
          <w:sz w:val="14"/>
          <w:szCs w:val="14"/>
        </w:rPr>
      </w:pPr>
      <w:r w:rsidRPr="00535068">
        <w:rPr>
          <w:rFonts w:ascii="Arial" w:hAnsi="Arial" w:cs="Arial"/>
          <w:sz w:val="14"/>
          <w:szCs w:val="14"/>
        </w:rPr>
        <w:t>IR = ingestion rate</w:t>
      </w:r>
    </w:p>
    <w:p w:rsidR="00BC3390" w:rsidRPr="00535068" w:rsidRDefault="00BC3390" w:rsidP="00BC3390">
      <w:pPr>
        <w:spacing w:after="0"/>
        <w:rPr>
          <w:rFonts w:ascii="Arial" w:hAnsi="Arial" w:cs="Arial"/>
          <w:sz w:val="14"/>
          <w:szCs w:val="14"/>
        </w:rPr>
      </w:pPr>
      <w:r w:rsidRPr="00535068">
        <w:rPr>
          <w:rFonts w:ascii="Arial" w:hAnsi="Arial" w:cs="Arial"/>
          <w:sz w:val="14"/>
          <w:szCs w:val="14"/>
        </w:rPr>
        <w:t>Ke, food = efflux rate from food</w:t>
      </w:r>
    </w:p>
    <w:p w:rsidR="000809E7" w:rsidRPr="00535068" w:rsidRDefault="000809E7" w:rsidP="00BC3390">
      <w:pPr>
        <w:spacing w:after="0"/>
        <w:rPr>
          <w:rFonts w:ascii="Arial" w:hAnsi="Arial" w:cs="Arial"/>
          <w:sz w:val="14"/>
          <w:szCs w:val="14"/>
        </w:rPr>
      </w:pPr>
      <w:r w:rsidRPr="00535068">
        <w:rPr>
          <w:rFonts w:ascii="Arial" w:hAnsi="Arial" w:cs="Arial"/>
          <w:i/>
          <w:sz w:val="14"/>
          <w:szCs w:val="14"/>
        </w:rPr>
        <w:t>g</w:t>
      </w:r>
      <w:r w:rsidRPr="00535068">
        <w:rPr>
          <w:rFonts w:ascii="Arial" w:hAnsi="Arial" w:cs="Arial"/>
          <w:sz w:val="14"/>
          <w:szCs w:val="14"/>
        </w:rPr>
        <w:t xml:space="preserve"> = growth</w:t>
      </w:r>
    </w:p>
    <w:p w:rsidR="000809E7" w:rsidRPr="00535068" w:rsidRDefault="000809E7" w:rsidP="00BC3390">
      <w:pPr>
        <w:spacing w:after="0"/>
        <w:rPr>
          <w:rFonts w:ascii="Arial" w:hAnsi="Arial" w:cs="Arial"/>
          <w:sz w:val="14"/>
          <w:szCs w:val="14"/>
        </w:rPr>
      </w:pPr>
      <w:r w:rsidRPr="00535068">
        <w:rPr>
          <w:rFonts w:ascii="Arial" w:hAnsi="Arial" w:cs="Arial"/>
          <w:sz w:val="14"/>
          <w:szCs w:val="14"/>
        </w:rPr>
        <w:t>TTF = trophic transfer factor</w:t>
      </w:r>
    </w:p>
    <w:p w:rsidR="00BC3390" w:rsidRPr="00535068" w:rsidRDefault="00BC3390" w:rsidP="00BC3390">
      <w:pPr>
        <w:spacing w:after="0"/>
        <w:rPr>
          <w:rFonts w:ascii="Arial" w:hAnsi="Arial" w:cs="Arial"/>
          <w:sz w:val="14"/>
          <w:szCs w:val="14"/>
        </w:rPr>
      </w:pPr>
      <w:r w:rsidRPr="00535068">
        <w:rPr>
          <w:rFonts w:ascii="Arial" w:hAnsi="Arial" w:cs="Arial"/>
          <w:sz w:val="14"/>
          <w:szCs w:val="14"/>
        </w:rPr>
        <w:t>SEM = standard error of the mean</w:t>
      </w:r>
    </w:p>
    <w:p w:rsidR="00175EFA" w:rsidRDefault="00175EFA">
      <w:pPr>
        <w:sectPr w:rsidR="00175EFA" w:rsidSect="00BC3390">
          <w:pgSz w:w="15840" w:h="12240" w:orient="landscape"/>
          <w:pgMar w:top="1440" w:right="1440" w:bottom="1080" w:left="1440" w:header="720" w:footer="720" w:gutter="0"/>
          <w:cols w:space="720"/>
          <w:docGrid w:linePitch="360"/>
        </w:sectPr>
      </w:pPr>
    </w:p>
    <w:p w:rsidR="00175EFA" w:rsidRDefault="00175EFA" w:rsidP="00175EF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References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Baines SB, Fisher NS, Kinney EL (2005) Influence of temperature on dietary metal uptake in Arctic and temperate mussels. Mar Ecol Prog Ser 289:201-213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Baines SB, Fisher NS, Stewart R (2002) Assimilation and retention of selenium and other trace elements from crustacean food by juvenile striped bass (</w:t>
      </w:r>
      <w:r>
        <w:rPr>
          <w:rFonts w:ascii="Arial" w:hAnsi="Arial" w:cs="Arial"/>
          <w:i/>
          <w:noProof/>
          <w:sz w:val="20"/>
          <w:szCs w:val="20"/>
        </w:rPr>
        <w:t>Morone saxatilis</w:t>
      </w:r>
      <w:r>
        <w:rPr>
          <w:rFonts w:ascii="Arial" w:hAnsi="Arial" w:cs="Arial"/>
          <w:noProof/>
          <w:sz w:val="20"/>
          <w:szCs w:val="20"/>
        </w:rPr>
        <w:t>). Limnol Oceanogr 47(3):646-655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Cheung MS, Wang WX (2005) Influence of subcellular metal compartmentalization in different prey on the transfer of metals to a predatory gastropod. Mar Ecol Prog Ser 286:155-166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Cheung MS, Zhang L, Wang WX (2007) Transfer and efflux of cadmium and silver in marine snails and fish fed pre-exposed mussel prey. Environ Toxicol Chem 26(6):1172-1178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Chong K, Wang WX (2001) Comparative studies on the biokinetics of Cd, Cr, and Zn in the green mussel </w:t>
      </w:r>
      <w:r>
        <w:rPr>
          <w:rFonts w:ascii="Arial" w:hAnsi="Arial" w:cs="Arial"/>
          <w:i/>
          <w:noProof/>
          <w:sz w:val="20"/>
          <w:szCs w:val="20"/>
        </w:rPr>
        <w:t>Perna viridis</w:t>
      </w:r>
      <w:r>
        <w:rPr>
          <w:rFonts w:ascii="Arial" w:hAnsi="Arial" w:cs="Arial"/>
          <w:noProof/>
          <w:sz w:val="20"/>
          <w:szCs w:val="20"/>
        </w:rPr>
        <w:t xml:space="preserve"> and the Manila clam </w:t>
      </w:r>
      <w:r>
        <w:rPr>
          <w:rFonts w:ascii="Arial" w:hAnsi="Arial" w:cs="Arial"/>
          <w:i/>
          <w:noProof/>
          <w:sz w:val="20"/>
          <w:szCs w:val="20"/>
        </w:rPr>
        <w:t>Ruditapes philippinarum</w:t>
      </w:r>
      <w:r>
        <w:rPr>
          <w:rFonts w:ascii="Arial" w:hAnsi="Arial" w:cs="Arial"/>
          <w:noProof/>
          <w:sz w:val="20"/>
          <w:szCs w:val="20"/>
        </w:rPr>
        <w:t>. Environ. Poll. 115:107-121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Dang FD, Zhong H, Wang WX (2009) Copper uptake kinetics and regulation in a marine fish after waterborne copper acclimation. Aquat Toxicol 94:238-244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Dutton J, Fisher NS (2010) Intraspecific comparisons of metal bioaccumulation in the juvenile Atlantic silverside </w:t>
      </w:r>
      <w:r>
        <w:rPr>
          <w:rFonts w:ascii="Arial" w:hAnsi="Arial" w:cs="Arial"/>
          <w:i/>
          <w:noProof/>
          <w:sz w:val="20"/>
          <w:szCs w:val="20"/>
        </w:rPr>
        <w:t>Menidia menidia</w:t>
      </w:r>
      <w:r>
        <w:rPr>
          <w:rFonts w:ascii="Arial" w:hAnsi="Arial" w:cs="Arial"/>
          <w:noProof/>
          <w:sz w:val="20"/>
          <w:szCs w:val="20"/>
        </w:rPr>
        <w:t>. Aquat Biol 10:211-226</w:t>
      </w:r>
    </w:p>
    <w:p w:rsidR="00F01708" w:rsidRDefault="00F01708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F01708" w:rsidRPr="00F01708" w:rsidRDefault="00F01708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Dutton J, Fisher NS (2011) Bioaccumulation of As, Cd, Cr, Hg(II), and MeHg in killifish (</w:t>
      </w:r>
      <w:r>
        <w:rPr>
          <w:rFonts w:ascii="Arial" w:hAnsi="Arial" w:cs="Arial"/>
          <w:i/>
          <w:noProof/>
          <w:sz w:val="20"/>
          <w:szCs w:val="20"/>
        </w:rPr>
        <w:t>Fundulus heteroclitus</w:t>
      </w:r>
      <w:r>
        <w:rPr>
          <w:rFonts w:ascii="Arial" w:hAnsi="Arial" w:cs="Arial"/>
          <w:noProof/>
          <w:sz w:val="20"/>
          <w:szCs w:val="20"/>
        </w:rPr>
        <w:t>) from amphipod and worm prey. Sci Tot Environ 409:3438-3447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Griscom SB, Fisher NS, Luoma SN (2002) Kinetic modeling of Ag, Cd and Co bioaccumulation in the clam </w:t>
      </w:r>
      <w:r>
        <w:rPr>
          <w:rFonts w:ascii="Arial" w:hAnsi="Arial" w:cs="Arial"/>
          <w:i/>
          <w:noProof/>
          <w:sz w:val="20"/>
          <w:szCs w:val="20"/>
        </w:rPr>
        <w:t>Macoma balthica</w:t>
      </w:r>
      <w:r>
        <w:rPr>
          <w:rFonts w:ascii="Arial" w:hAnsi="Arial" w:cs="Arial"/>
          <w:noProof/>
          <w:sz w:val="20"/>
          <w:szCs w:val="20"/>
        </w:rPr>
        <w:t>: quantifying dietary and dissolved sources. Mar Ecol Prog Ser 240:127-141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Hedouin L, Pringault O, Metian M, Bustamante P, Warnau M (2007) Nickel bioaccumulation in bivalves for the New Caledonia lagoon: seawater and food exposure. Chemosphere 66:1449-1457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Huang X, Ke C, Wang WX (2008) Bioaccumulation of silver, cadmium and mercury in the abalone </w:t>
      </w:r>
      <w:r>
        <w:rPr>
          <w:rFonts w:ascii="Arial" w:hAnsi="Arial" w:cs="Arial"/>
          <w:i/>
          <w:noProof/>
          <w:sz w:val="20"/>
          <w:szCs w:val="20"/>
        </w:rPr>
        <w:t>Haliotis diversicolor</w:t>
      </w:r>
      <w:r>
        <w:rPr>
          <w:rFonts w:ascii="Arial" w:hAnsi="Arial" w:cs="Arial"/>
          <w:noProof/>
          <w:sz w:val="20"/>
          <w:szCs w:val="20"/>
        </w:rPr>
        <w:t xml:space="preserve"> from water and food sources. Aquacult 283:194-202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Ke C, Wang WX (2001) Bioaccumulation of Cd, Se, and Zn in an estuarine oyster (</w:t>
      </w:r>
      <w:r>
        <w:rPr>
          <w:rFonts w:ascii="Arial" w:hAnsi="Arial" w:cs="Arial"/>
          <w:i/>
          <w:noProof/>
          <w:sz w:val="20"/>
          <w:szCs w:val="20"/>
        </w:rPr>
        <w:t>Crassostrea rivularis</w:t>
      </w:r>
      <w:r>
        <w:rPr>
          <w:rFonts w:ascii="Arial" w:hAnsi="Arial" w:cs="Arial"/>
          <w:noProof/>
          <w:sz w:val="20"/>
          <w:szCs w:val="20"/>
        </w:rPr>
        <w:t>) and a coastal oyster (</w:t>
      </w:r>
      <w:r>
        <w:rPr>
          <w:rFonts w:ascii="Arial" w:hAnsi="Arial" w:cs="Arial"/>
          <w:i/>
          <w:noProof/>
          <w:sz w:val="20"/>
          <w:szCs w:val="20"/>
        </w:rPr>
        <w:t>Saccostrea glomerata</w:t>
      </w:r>
      <w:r>
        <w:rPr>
          <w:rFonts w:ascii="Arial" w:hAnsi="Arial" w:cs="Arial"/>
          <w:noProof/>
          <w:sz w:val="20"/>
          <w:szCs w:val="20"/>
        </w:rPr>
        <w:t>). Aquat Toxicol 56: 33-51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King CK, Simpson SL, Smith SV, Stauber JL, Batley GE (2005) Short-term accumulation of Cd and Cu from water, sediment and algae by the amphipod </w:t>
      </w:r>
      <w:r>
        <w:rPr>
          <w:rFonts w:ascii="Arial" w:hAnsi="Arial" w:cs="Arial"/>
          <w:i/>
          <w:noProof/>
          <w:sz w:val="20"/>
          <w:szCs w:val="20"/>
        </w:rPr>
        <w:t>Melita plumulosa</w:t>
      </w:r>
      <w:r>
        <w:rPr>
          <w:rFonts w:ascii="Arial" w:hAnsi="Arial" w:cs="Arial"/>
          <w:noProof/>
          <w:sz w:val="20"/>
          <w:szCs w:val="20"/>
        </w:rPr>
        <w:t xml:space="preserve"> and the bivalve </w:t>
      </w:r>
      <w:r>
        <w:rPr>
          <w:rFonts w:ascii="Arial" w:hAnsi="Arial" w:cs="Arial"/>
          <w:i/>
          <w:noProof/>
          <w:sz w:val="20"/>
          <w:szCs w:val="20"/>
        </w:rPr>
        <w:t>Tellina deltoidalis</w:t>
      </w:r>
      <w:r>
        <w:rPr>
          <w:rFonts w:ascii="Arial" w:hAnsi="Arial" w:cs="Arial"/>
          <w:noProof/>
          <w:sz w:val="20"/>
          <w:szCs w:val="20"/>
        </w:rPr>
        <w:t>. Mar Ecol Prog Ser 287:177-188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Liu F, Wang WX (2011) Differential roles of metallothionein-like proteins in cadmium uptake and elimination by the scallop </w:t>
      </w:r>
      <w:r>
        <w:rPr>
          <w:rFonts w:ascii="Arial" w:hAnsi="Arial" w:cs="Arial"/>
          <w:i/>
          <w:noProof/>
          <w:sz w:val="20"/>
          <w:szCs w:val="20"/>
        </w:rPr>
        <w:t>Chlamys nobilis</w:t>
      </w:r>
      <w:r>
        <w:rPr>
          <w:rFonts w:ascii="Arial" w:hAnsi="Arial" w:cs="Arial"/>
          <w:noProof/>
          <w:sz w:val="20"/>
          <w:szCs w:val="20"/>
        </w:rPr>
        <w:t>. Environ Toxicol Chem 30(3):738-746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Mathews T, Fisher NS (2008a) Evaluating the trophic transfer of cadmium, polonium, and methylmercury in an estuarine food chain. Environ Toxicol Chem 27(5):1093-1101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Mathews T, Fisher NS (2008b) Trophic transfer of seven trace metals in a four-step marine food chain. Mar Ecol Prog Ser 367:23-33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Mathews T, Fisher NS, Jeffree RA, Teyssie JL (2008) Assimilation and retention of metals in teleost and elasmobranch fishes following dietary exposure. Mar Ecol Prog Ser 360:1-12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Ng TYT, Wang WX (2005) Modeling of cadmium bioaccumulation in two populations of the green mussel </w:t>
      </w:r>
      <w:r>
        <w:rPr>
          <w:rFonts w:ascii="Arial" w:hAnsi="Arial" w:cs="Arial"/>
          <w:i/>
          <w:noProof/>
          <w:sz w:val="20"/>
          <w:szCs w:val="20"/>
        </w:rPr>
        <w:t>Perna viridis</w:t>
      </w:r>
      <w:r>
        <w:rPr>
          <w:rFonts w:ascii="Arial" w:hAnsi="Arial" w:cs="Arial"/>
          <w:noProof/>
          <w:sz w:val="20"/>
          <w:szCs w:val="20"/>
        </w:rPr>
        <w:t>. Environ Toxicol Chem 24(9):2299-2305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Pan K, Wang WX (2008) Validation of biokinetic model of metals in the scallop </w:t>
      </w:r>
      <w:r>
        <w:rPr>
          <w:rFonts w:ascii="Arial" w:hAnsi="Arial" w:cs="Arial"/>
          <w:i/>
          <w:noProof/>
          <w:sz w:val="20"/>
          <w:szCs w:val="20"/>
        </w:rPr>
        <w:t>Chlamys nobilis</w:t>
      </w:r>
      <w:r>
        <w:rPr>
          <w:rFonts w:ascii="Arial" w:hAnsi="Arial" w:cs="Arial"/>
          <w:noProof/>
          <w:sz w:val="20"/>
          <w:szCs w:val="20"/>
        </w:rPr>
        <w:t xml:space="preserve"> in complex field environments. Environ Sci Tech 42:6285-6290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Pan K, Wang WX (2009). Biodynamics to explain the difference in copper body concentrations in five marine bivavle species. Environ Sci Tech 43:2137-2143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Rainbow PS, Blackmore G, Wang WX (2003) Effects of previous field-exposure history on the uptake of trace metals from water and food by the barnacle </w:t>
      </w:r>
      <w:r>
        <w:rPr>
          <w:rFonts w:ascii="Arial" w:hAnsi="Arial" w:cs="Arial"/>
          <w:i/>
          <w:noProof/>
          <w:sz w:val="20"/>
          <w:szCs w:val="20"/>
        </w:rPr>
        <w:t>Balanus amphitrite</w:t>
      </w:r>
      <w:r>
        <w:rPr>
          <w:rFonts w:ascii="Arial" w:hAnsi="Arial" w:cs="Arial"/>
          <w:noProof/>
          <w:sz w:val="20"/>
          <w:szCs w:val="20"/>
        </w:rPr>
        <w:t>. Mar Ecol Prog Ser 259:201-213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Rainbow PS, Wang WX (2001) Comparative assimilation of Cd, Cr, Se, and Zn by the barnacle </w:t>
      </w:r>
      <w:r>
        <w:rPr>
          <w:rFonts w:ascii="Arial" w:hAnsi="Arial" w:cs="Arial"/>
          <w:i/>
          <w:noProof/>
          <w:sz w:val="20"/>
          <w:szCs w:val="20"/>
        </w:rPr>
        <w:t>Elminius modestus</w:t>
      </w:r>
      <w:r>
        <w:rPr>
          <w:rFonts w:ascii="Arial" w:hAnsi="Arial" w:cs="Arial"/>
          <w:noProof/>
          <w:sz w:val="20"/>
          <w:szCs w:val="20"/>
        </w:rPr>
        <w:t xml:space="preserve"> from phytoplankton and zooplankton diets. Mar Ecol Prog Ser 218:239-248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Twining BS, Fisher NS (2004) Trophic transfer of trace metals from protozoa to mesozooplankton. Limnol Oceanogr 49(1):28-39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Wang MH, Wang DZ, Wang GZ, Huang XG, Hong HS (2007) Influence of N, P additions on the transfer of nickel from phytoplankton to copepods. Environ Poll 148:679-687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Wang WX, Fisher NS (1997) Modeling metal bioavailability for marine mussels. Rev Environ Contam Toxicol 151:39-65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Wang WX, Fisher NS (1998) Accumulation of trace elements in a marine copepod. Limnol Oceanogr 43: 273-283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Wang WX, Ke C (2002) Dominance of dietary intake of cadmium and zinc by two marine predatory gastropods. Aquat Toxicol 56:153-165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Wang WX, Qiu JW, Qian PY (1999a) The trophic transfer of Cd, Cr, and Se in the barnacle </w:t>
      </w:r>
      <w:r>
        <w:rPr>
          <w:rFonts w:ascii="Arial" w:hAnsi="Arial" w:cs="Arial"/>
          <w:i/>
          <w:noProof/>
          <w:sz w:val="20"/>
          <w:szCs w:val="20"/>
        </w:rPr>
        <w:t>Balanus amphitrite</w:t>
      </w:r>
      <w:r>
        <w:rPr>
          <w:rFonts w:ascii="Arial" w:hAnsi="Arial" w:cs="Arial"/>
          <w:noProof/>
          <w:sz w:val="20"/>
          <w:szCs w:val="20"/>
        </w:rPr>
        <w:t xml:space="preserve"> from planktonic food. Mar Ecol Prog Ser 187:191-201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Wang WX, Qiu JW, Qian PY (1999b) Significance of trophic transfer in predicting the high concentration of zinc in barnacles. Environ Sci Tech 33:2905-2909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Williams JJ, Dutton J, Chen CY, Fisher NS (2010) Metal (As, Cd, Hg, and CH</w:t>
      </w:r>
      <w:r>
        <w:rPr>
          <w:rFonts w:ascii="Arial" w:hAnsi="Arial" w:cs="Arial"/>
          <w:noProof/>
          <w:sz w:val="20"/>
          <w:szCs w:val="20"/>
          <w:vertAlign w:val="subscript"/>
        </w:rPr>
        <w:t>3</w:t>
      </w:r>
      <w:r>
        <w:rPr>
          <w:rFonts w:ascii="Arial" w:hAnsi="Arial" w:cs="Arial"/>
          <w:noProof/>
          <w:sz w:val="20"/>
          <w:szCs w:val="20"/>
        </w:rPr>
        <w:t xml:space="preserve">Hg) bioaccumulation from water and food by the benthic amphipod </w:t>
      </w:r>
      <w:r>
        <w:rPr>
          <w:rFonts w:ascii="Arial" w:hAnsi="Arial" w:cs="Arial"/>
          <w:i/>
          <w:noProof/>
          <w:sz w:val="20"/>
          <w:szCs w:val="20"/>
        </w:rPr>
        <w:t>Leptocheirus plumulosus</w:t>
      </w:r>
      <w:r>
        <w:rPr>
          <w:rFonts w:ascii="Arial" w:hAnsi="Arial" w:cs="Arial"/>
          <w:noProof/>
          <w:sz w:val="20"/>
          <w:szCs w:val="20"/>
        </w:rPr>
        <w:t>. Environ Toxicol Chem 29(8):1755-1761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Xu Y, Wang WX (2002) Exposure and potential food chain transfer factor of Cd, Se and Zn in marine fish </w:t>
      </w:r>
      <w:r>
        <w:rPr>
          <w:rFonts w:ascii="Arial" w:hAnsi="Arial" w:cs="Arial"/>
          <w:i/>
          <w:noProof/>
          <w:sz w:val="20"/>
          <w:szCs w:val="20"/>
        </w:rPr>
        <w:t>Lutjanus argentimaculatus</w:t>
      </w:r>
      <w:r>
        <w:rPr>
          <w:rFonts w:ascii="Arial" w:hAnsi="Arial" w:cs="Arial"/>
          <w:noProof/>
          <w:sz w:val="20"/>
          <w:szCs w:val="20"/>
        </w:rPr>
        <w:t>. Mar Ecol Prog Ser 238:173-186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Zhang L, Wang WX (2006) Significance of subcellular metal distribution in prey in influencing the trophic transfer of metals in a marine fish. Limnol Oceanogr 51(5):2008-2017</w:t>
      </w:r>
    </w:p>
    <w:p w:rsidR="00175EFA" w:rsidRDefault="00175EFA" w:rsidP="00175EFA">
      <w:pPr>
        <w:spacing w:after="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</w:p>
    <w:p w:rsidR="00175EFA" w:rsidRDefault="00175EFA" w:rsidP="00175EFA">
      <w:pPr>
        <w:ind w:left="720" w:hanging="720"/>
      </w:pPr>
      <w:r>
        <w:rPr>
          <w:rFonts w:ascii="Arial" w:hAnsi="Arial" w:cs="Arial"/>
          <w:noProof/>
          <w:sz w:val="20"/>
          <w:szCs w:val="20"/>
        </w:rPr>
        <w:t>Zhang L, Wang WX (2007) Size-dependence of the potential for metal biomagnification in early life stages of marine fish. Environ Toxicol Chem 26(4):787-794</w:t>
      </w:r>
    </w:p>
    <w:p w:rsidR="0043202B" w:rsidRDefault="0043202B"/>
    <w:sectPr w:rsidR="0043202B" w:rsidSect="00175EFA">
      <w:pgSz w:w="12240" w:h="15840"/>
      <w:pgMar w:top="144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E6C70"/>
    <w:multiLevelType w:val="hybridMultilevel"/>
    <w:tmpl w:val="9F5AC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C0271"/>
    <w:multiLevelType w:val="hybridMultilevel"/>
    <w:tmpl w:val="398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43202B"/>
    <w:rsid w:val="000004EC"/>
    <w:rsid w:val="000809E7"/>
    <w:rsid w:val="001010AF"/>
    <w:rsid w:val="0014437E"/>
    <w:rsid w:val="00166B70"/>
    <w:rsid w:val="00175EFA"/>
    <w:rsid w:val="001915B6"/>
    <w:rsid w:val="001B34FF"/>
    <w:rsid w:val="001D71A8"/>
    <w:rsid w:val="00203464"/>
    <w:rsid w:val="002440D1"/>
    <w:rsid w:val="00351361"/>
    <w:rsid w:val="003D6643"/>
    <w:rsid w:val="003E38F1"/>
    <w:rsid w:val="0043202B"/>
    <w:rsid w:val="00483256"/>
    <w:rsid w:val="004A619E"/>
    <w:rsid w:val="00535068"/>
    <w:rsid w:val="0063403F"/>
    <w:rsid w:val="0067793D"/>
    <w:rsid w:val="006F7EBB"/>
    <w:rsid w:val="00706963"/>
    <w:rsid w:val="0078335A"/>
    <w:rsid w:val="00854D70"/>
    <w:rsid w:val="00893A92"/>
    <w:rsid w:val="008E56DC"/>
    <w:rsid w:val="00905607"/>
    <w:rsid w:val="009F4BD4"/>
    <w:rsid w:val="00A5023B"/>
    <w:rsid w:val="00B3478F"/>
    <w:rsid w:val="00B45F42"/>
    <w:rsid w:val="00BC3390"/>
    <w:rsid w:val="00BE3661"/>
    <w:rsid w:val="00C122ED"/>
    <w:rsid w:val="00C93CAE"/>
    <w:rsid w:val="00D27EE6"/>
    <w:rsid w:val="00D721C5"/>
    <w:rsid w:val="00DA4DE8"/>
    <w:rsid w:val="00DC07E6"/>
    <w:rsid w:val="00E50BB8"/>
    <w:rsid w:val="00E65C82"/>
    <w:rsid w:val="00EF16C6"/>
    <w:rsid w:val="00F01708"/>
    <w:rsid w:val="00FE4EF8"/>
    <w:rsid w:val="00FE7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6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320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3202B"/>
    <w:rPr>
      <w:color w:val="800080"/>
      <w:u w:val="single"/>
    </w:rPr>
  </w:style>
  <w:style w:type="paragraph" w:customStyle="1" w:styleId="font5">
    <w:name w:val="font5"/>
    <w:basedOn w:val="Normal"/>
    <w:rsid w:val="0043202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43202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43202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8">
    <w:name w:val="font8"/>
    <w:basedOn w:val="Normal"/>
    <w:rsid w:val="0043202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9">
    <w:name w:val="font9"/>
    <w:basedOn w:val="Normal"/>
    <w:rsid w:val="0043202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10">
    <w:name w:val="font10"/>
    <w:basedOn w:val="Normal"/>
    <w:rsid w:val="0043202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font11">
    <w:name w:val="font11"/>
    <w:basedOn w:val="Normal"/>
    <w:rsid w:val="0043202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font12">
    <w:name w:val="font12"/>
    <w:basedOn w:val="Normal"/>
    <w:rsid w:val="0043202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</w:rPr>
  </w:style>
  <w:style w:type="paragraph" w:customStyle="1" w:styleId="font13">
    <w:name w:val="font13"/>
    <w:basedOn w:val="Normal"/>
    <w:rsid w:val="0043202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67">
    <w:name w:val="xl67"/>
    <w:basedOn w:val="Normal"/>
    <w:rsid w:val="004320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432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432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"/>
    <w:rsid w:val="00432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320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432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432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4320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432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4320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4320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4320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43202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43202B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43202B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4320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Normal"/>
    <w:rsid w:val="0043202B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43202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4320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Normal"/>
    <w:rsid w:val="004320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4320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2034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6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2550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DeForest</dc:creator>
  <cp:lastModifiedBy>Rick Cardwell</cp:lastModifiedBy>
  <cp:revision>17</cp:revision>
  <dcterms:created xsi:type="dcterms:W3CDTF">2012-04-25T16:38:00Z</dcterms:created>
  <dcterms:modified xsi:type="dcterms:W3CDTF">2012-07-03T20:34:00Z</dcterms:modified>
</cp:coreProperties>
</file>